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6E" w:rsidRPr="008103E2" w:rsidRDefault="006B626E" w:rsidP="009A51A7">
      <w:pPr>
        <w:spacing w:beforeLines="50" w:afterLines="50" w:line="360" w:lineRule="auto"/>
        <w:ind w:left="1265" w:hangingChars="450" w:hanging="1265"/>
        <w:rPr>
          <w:b/>
          <w:sz w:val="28"/>
          <w:szCs w:val="28"/>
        </w:rPr>
      </w:pPr>
      <w:bookmarkStart w:id="0" w:name="_GoBack"/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>3:</w:t>
      </w:r>
      <w:r w:rsidR="00DB4650">
        <w:rPr>
          <w:rFonts w:hAnsi="宋体" w:hint="eastAsia"/>
          <w:b/>
          <w:sz w:val="28"/>
          <w:szCs w:val="28"/>
        </w:rPr>
        <w:t>新余学院</w:t>
      </w:r>
      <w:r w:rsidR="009A51A7">
        <w:rPr>
          <w:rFonts w:hAnsi="宋体" w:hint="eastAsia"/>
          <w:b/>
          <w:sz w:val="28"/>
          <w:szCs w:val="28"/>
        </w:rPr>
        <w:t>第一届</w:t>
      </w:r>
      <w:r w:rsidRPr="008103E2">
        <w:rPr>
          <w:rFonts w:hAnsi="宋体"/>
          <w:b/>
          <w:sz w:val="28"/>
          <w:szCs w:val="28"/>
        </w:rPr>
        <w:t>能源经济学术创意大赛评审标准</w:t>
      </w:r>
    </w:p>
    <w:bookmarkEnd w:id="0"/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能源经济学术创意大赛鼓励学生进行创新性的研究和调研，鼓励第一手的调研资料和规范的分析论证。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参赛作品评审设置分项权重系数。初赛评审及全国总决赛按照表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计算参赛作品的综合得分。</w:t>
      </w:r>
    </w:p>
    <w:p w:rsidR="006B626E" w:rsidRPr="008103E2" w:rsidRDefault="006B626E" w:rsidP="006B626E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 w:rsidRPr="008103E2">
        <w:rPr>
          <w:rFonts w:hAnsi="宋体"/>
          <w:sz w:val="28"/>
          <w:szCs w:val="28"/>
        </w:rPr>
        <w:t>作品计分办法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0"/>
        <w:gridCol w:w="2151"/>
        <w:gridCol w:w="2070"/>
        <w:gridCol w:w="2151"/>
      </w:tblGrid>
      <w:tr w:rsidR="006B626E" w:rsidRPr="008103E2" w:rsidTr="003B2349">
        <w:tc>
          <w:tcPr>
            <w:tcW w:w="2150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评审标准</w:t>
            </w:r>
          </w:p>
        </w:tc>
        <w:tc>
          <w:tcPr>
            <w:tcW w:w="2151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初赛权重</w:t>
            </w:r>
          </w:p>
        </w:tc>
        <w:tc>
          <w:tcPr>
            <w:tcW w:w="2070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总决赛权重</w:t>
            </w:r>
          </w:p>
        </w:tc>
        <w:tc>
          <w:tcPr>
            <w:tcW w:w="2151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备注</w:t>
            </w:r>
          </w:p>
        </w:tc>
      </w:tr>
      <w:tr w:rsidR="006B626E" w:rsidRPr="008103E2" w:rsidTr="003B2349">
        <w:tc>
          <w:tcPr>
            <w:tcW w:w="2150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创新性</w:t>
            </w:r>
          </w:p>
        </w:tc>
        <w:tc>
          <w:tcPr>
            <w:tcW w:w="2151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sz w:val="28"/>
                <w:szCs w:val="28"/>
              </w:rPr>
              <w:t>60%</w:t>
            </w:r>
          </w:p>
        </w:tc>
        <w:tc>
          <w:tcPr>
            <w:tcW w:w="2070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sz w:val="28"/>
                <w:szCs w:val="28"/>
              </w:rPr>
              <w:t>60%</w:t>
            </w:r>
          </w:p>
        </w:tc>
        <w:tc>
          <w:tcPr>
            <w:tcW w:w="2151" w:type="dxa"/>
            <w:vMerge w:val="restart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初赛无现场表达环节</w:t>
            </w:r>
          </w:p>
        </w:tc>
      </w:tr>
      <w:tr w:rsidR="006B626E" w:rsidRPr="008103E2" w:rsidTr="003B2349">
        <w:tc>
          <w:tcPr>
            <w:tcW w:w="2150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规范性</w:t>
            </w:r>
          </w:p>
        </w:tc>
        <w:tc>
          <w:tcPr>
            <w:tcW w:w="2151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sz w:val="28"/>
                <w:szCs w:val="28"/>
              </w:rPr>
              <w:t>40%</w:t>
            </w:r>
          </w:p>
        </w:tc>
        <w:tc>
          <w:tcPr>
            <w:tcW w:w="2070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sz w:val="28"/>
                <w:szCs w:val="28"/>
              </w:rPr>
              <w:t>25%</w:t>
            </w:r>
          </w:p>
        </w:tc>
        <w:tc>
          <w:tcPr>
            <w:tcW w:w="2151" w:type="dxa"/>
            <w:vMerge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626E" w:rsidRPr="008103E2" w:rsidTr="003B2349">
        <w:tc>
          <w:tcPr>
            <w:tcW w:w="2150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现场表达</w:t>
            </w:r>
          </w:p>
        </w:tc>
        <w:tc>
          <w:tcPr>
            <w:tcW w:w="2151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sz w:val="28"/>
                <w:szCs w:val="28"/>
              </w:rPr>
              <w:t>0</w:t>
            </w:r>
          </w:p>
        </w:tc>
        <w:tc>
          <w:tcPr>
            <w:tcW w:w="2070" w:type="dxa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03E2">
              <w:rPr>
                <w:sz w:val="28"/>
                <w:szCs w:val="28"/>
              </w:rPr>
              <w:t>15%</w:t>
            </w:r>
          </w:p>
        </w:tc>
        <w:tc>
          <w:tcPr>
            <w:tcW w:w="2151" w:type="dxa"/>
            <w:vMerge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626E" w:rsidRPr="008103E2" w:rsidTr="003B2349">
        <w:tc>
          <w:tcPr>
            <w:tcW w:w="8522" w:type="dxa"/>
            <w:gridSpan w:val="4"/>
          </w:tcPr>
          <w:p w:rsidR="006B626E" w:rsidRPr="008103E2" w:rsidRDefault="006B626E" w:rsidP="003B2349">
            <w:pPr>
              <w:tabs>
                <w:tab w:val="left" w:pos="851"/>
              </w:tabs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8103E2">
              <w:rPr>
                <w:rFonts w:hAnsi="宋体"/>
                <w:sz w:val="28"/>
                <w:szCs w:val="28"/>
              </w:rPr>
              <w:t>综合得分：</w:t>
            </w:r>
            <w:r w:rsidRPr="008103E2">
              <w:rPr>
                <w:color w:val="FF0000"/>
                <w:position w:val="-28"/>
                <w:sz w:val="28"/>
                <w:szCs w:val="28"/>
              </w:rPr>
              <w:t xml:space="preserve"> </w:t>
            </w:r>
            <w:r w:rsidR="005570EA" w:rsidRPr="008103E2">
              <w:rPr>
                <w:color w:val="FF0000"/>
                <w:position w:val="-28"/>
                <w:sz w:val="28"/>
                <w:szCs w:val="28"/>
              </w:rPr>
              <w:object w:dxaOrig="17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4.5pt" o:ole="">
                  <v:imagedata r:id="rId6" o:title=""/>
                </v:shape>
                <o:OLEObject Type="Embed" ProgID="Equation.3" ShapeID="_x0000_i1025" DrawAspect="Content" ObjectID="_1568894784" r:id="rId7"/>
              </w:object>
            </w:r>
          </w:p>
        </w:tc>
      </w:tr>
    </w:tbl>
    <w:p w:rsidR="006B626E" w:rsidRPr="008103E2" w:rsidRDefault="006B626E" w:rsidP="006B626E">
      <w:pPr>
        <w:tabs>
          <w:tab w:val="left" w:pos="5070"/>
        </w:tabs>
        <w:spacing w:line="360" w:lineRule="auto"/>
        <w:ind w:left="1571" w:hangingChars="748" w:hanging="1571"/>
        <w:rPr>
          <w:szCs w:val="21"/>
        </w:rPr>
      </w:pPr>
      <w:r w:rsidRPr="008103E2">
        <w:rPr>
          <w:rFonts w:hAnsi="宋体"/>
          <w:szCs w:val="21"/>
        </w:rPr>
        <w:t>注：</w:t>
      </w:r>
      <w:r w:rsidRPr="008103E2">
        <w:rPr>
          <w:i/>
          <w:szCs w:val="21"/>
        </w:rPr>
        <w:t>Score</w:t>
      </w:r>
      <w:r w:rsidRPr="008103E2">
        <w:rPr>
          <w:szCs w:val="21"/>
        </w:rPr>
        <w:t>—</w:t>
      </w:r>
      <w:r w:rsidRPr="008103E2">
        <w:rPr>
          <w:rFonts w:hAnsi="宋体"/>
          <w:szCs w:val="21"/>
        </w:rPr>
        <w:t>综合得分，</w:t>
      </w:r>
      <w:r w:rsidRPr="008103E2">
        <w:rPr>
          <w:i/>
          <w:szCs w:val="21"/>
        </w:rPr>
        <w:t>λ—</w:t>
      </w:r>
      <w:r w:rsidRPr="008103E2">
        <w:rPr>
          <w:rFonts w:hAnsi="宋体"/>
          <w:szCs w:val="21"/>
        </w:rPr>
        <w:t>团队学历系数，</w:t>
      </w:r>
      <w:r w:rsidRPr="008103E2">
        <w:rPr>
          <w:i/>
          <w:szCs w:val="21"/>
        </w:rPr>
        <w:t>C</w:t>
      </w:r>
      <w:r w:rsidRPr="008103E2">
        <w:rPr>
          <w:i/>
          <w:szCs w:val="21"/>
          <w:vertAlign w:val="subscript"/>
        </w:rPr>
        <w:t>i</w:t>
      </w:r>
      <w:r w:rsidRPr="008103E2">
        <w:rPr>
          <w:szCs w:val="21"/>
        </w:rPr>
        <w:t>—</w:t>
      </w:r>
      <w:r w:rsidRPr="008103E2">
        <w:rPr>
          <w:rFonts w:hAnsi="宋体"/>
          <w:szCs w:val="21"/>
        </w:rPr>
        <w:t>分项</w:t>
      </w:r>
      <w:r w:rsidRPr="008103E2">
        <w:rPr>
          <w:i/>
          <w:szCs w:val="21"/>
        </w:rPr>
        <w:t>i</w:t>
      </w:r>
      <w:r w:rsidRPr="008103E2">
        <w:rPr>
          <w:rFonts w:hAnsi="宋体"/>
          <w:szCs w:val="21"/>
        </w:rPr>
        <w:t>的得分，</w:t>
      </w:r>
      <w:r w:rsidRPr="008103E2">
        <w:rPr>
          <w:i/>
          <w:szCs w:val="21"/>
        </w:rPr>
        <w:t>ρ</w:t>
      </w:r>
      <w:r w:rsidRPr="008103E2">
        <w:rPr>
          <w:i/>
          <w:szCs w:val="21"/>
          <w:vertAlign w:val="subscript"/>
        </w:rPr>
        <w:t>i</w:t>
      </w:r>
      <w:r w:rsidRPr="008103E2">
        <w:rPr>
          <w:szCs w:val="21"/>
        </w:rPr>
        <w:t>—</w:t>
      </w:r>
      <w:r w:rsidRPr="008103E2">
        <w:rPr>
          <w:rFonts w:hAnsi="宋体"/>
          <w:szCs w:val="21"/>
        </w:rPr>
        <w:t>分项</w:t>
      </w:r>
      <w:r w:rsidRPr="008103E2">
        <w:rPr>
          <w:i/>
          <w:szCs w:val="21"/>
        </w:rPr>
        <w:t>i</w:t>
      </w:r>
      <w:r w:rsidRPr="008103E2">
        <w:rPr>
          <w:rFonts w:hAnsi="宋体"/>
          <w:szCs w:val="21"/>
        </w:rPr>
        <w:t>的权重。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</w:p>
    <w:p w:rsidR="006B626E" w:rsidRPr="008103E2" w:rsidRDefault="006B626E" w:rsidP="006B626E">
      <w:pPr>
        <w:spacing w:line="360" w:lineRule="auto"/>
      </w:pPr>
    </w:p>
    <w:p w:rsidR="00307EFC" w:rsidRPr="006B626E" w:rsidRDefault="00307EFC"/>
    <w:sectPr w:rsidR="00307EFC" w:rsidRPr="006B626E" w:rsidSect="00E65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88" w:bottom="1134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1FA" w:rsidRDefault="006271FA" w:rsidP="006B626E">
      <w:r>
        <w:separator/>
      </w:r>
    </w:p>
  </w:endnote>
  <w:endnote w:type="continuationSeparator" w:id="1">
    <w:p w:rsidR="006271FA" w:rsidRDefault="006271FA" w:rsidP="006B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A7" w:rsidRDefault="009A51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D2" w:rsidRDefault="00080922">
    <w:pPr>
      <w:pStyle w:val="a4"/>
      <w:jc w:val="center"/>
    </w:pPr>
    <w:r>
      <w:fldChar w:fldCharType="begin"/>
    </w:r>
    <w:r w:rsidR="00307EFC">
      <w:instrText xml:space="preserve"> PAGE   \* MERGEFORMAT </w:instrText>
    </w:r>
    <w:r>
      <w:fldChar w:fldCharType="separate"/>
    </w:r>
    <w:r w:rsidR="009A51A7" w:rsidRPr="009A51A7">
      <w:rPr>
        <w:noProof/>
        <w:lang w:val="zh-CN"/>
      </w:rPr>
      <w:t>1</w:t>
    </w:r>
    <w:r>
      <w:fldChar w:fldCharType="end"/>
    </w:r>
  </w:p>
  <w:p w:rsidR="00A93AD2" w:rsidRPr="00F124CE" w:rsidRDefault="006271FA" w:rsidP="00A93AD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A7" w:rsidRDefault="009A51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1FA" w:rsidRDefault="006271FA" w:rsidP="006B626E">
      <w:r>
        <w:separator/>
      </w:r>
    </w:p>
  </w:footnote>
  <w:footnote w:type="continuationSeparator" w:id="1">
    <w:p w:rsidR="006271FA" w:rsidRDefault="006271FA" w:rsidP="006B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A7" w:rsidRDefault="009A51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50" w:rsidRDefault="00DB4650" w:rsidP="009A51A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A7" w:rsidRDefault="009A51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26E"/>
    <w:rsid w:val="00080922"/>
    <w:rsid w:val="001739E1"/>
    <w:rsid w:val="002205EC"/>
    <w:rsid w:val="002971B8"/>
    <w:rsid w:val="002B0397"/>
    <w:rsid w:val="00307EFC"/>
    <w:rsid w:val="004A3A0D"/>
    <w:rsid w:val="004C4B72"/>
    <w:rsid w:val="005570EA"/>
    <w:rsid w:val="006271FA"/>
    <w:rsid w:val="006B4157"/>
    <w:rsid w:val="006B626E"/>
    <w:rsid w:val="007065A0"/>
    <w:rsid w:val="00733DC5"/>
    <w:rsid w:val="00821ABB"/>
    <w:rsid w:val="009A51A7"/>
    <w:rsid w:val="00B76292"/>
    <w:rsid w:val="00C268B2"/>
    <w:rsid w:val="00D63941"/>
    <w:rsid w:val="00DB4650"/>
    <w:rsid w:val="00F64197"/>
    <w:rsid w:val="00FB7C95"/>
    <w:rsid w:val="00FF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6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B626E"/>
    <w:pPr>
      <w:keepNext/>
      <w:keepLines/>
      <w:spacing w:before="120" w:after="120" w:line="60" w:lineRule="auto"/>
      <w:jc w:val="left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2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626E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5">
    <w:name w:val="Title"/>
    <w:aliases w:val="标题2"/>
    <w:basedOn w:val="a"/>
    <w:next w:val="a"/>
    <w:link w:val="Char1"/>
    <w:uiPriority w:val="10"/>
    <w:qFormat/>
    <w:rsid w:val="006B626E"/>
    <w:pPr>
      <w:jc w:val="left"/>
      <w:outlineLvl w:val="0"/>
    </w:pPr>
    <w:rPr>
      <w:rFonts w:ascii="Cambria" w:eastAsia="黑体" w:hAnsi="Cambria"/>
      <w:b/>
      <w:bCs/>
      <w:kern w:val="0"/>
      <w:sz w:val="28"/>
      <w:szCs w:val="32"/>
    </w:rPr>
  </w:style>
  <w:style w:type="character" w:customStyle="1" w:styleId="Char1">
    <w:name w:val="标题 Char"/>
    <w:aliases w:val="标题2 Char"/>
    <w:basedOn w:val="a0"/>
    <w:link w:val="a5"/>
    <w:uiPriority w:val="10"/>
    <w:rsid w:val="006B626E"/>
    <w:rPr>
      <w:rFonts w:ascii="Cambria" w:eastAsia="黑体" w:hAnsi="Cambria" w:cs="Times New Roman"/>
      <w:b/>
      <w:bCs/>
      <w:kern w:val="0"/>
      <w:sz w:val="28"/>
      <w:szCs w:val="32"/>
    </w:rPr>
  </w:style>
  <w:style w:type="paragraph" w:styleId="a6">
    <w:name w:val="Body Text"/>
    <w:basedOn w:val="a"/>
    <w:link w:val="Char2"/>
    <w:uiPriority w:val="99"/>
    <w:unhideWhenUsed/>
    <w:rsid w:val="006B626E"/>
    <w:rPr>
      <w:sz w:val="30"/>
    </w:rPr>
  </w:style>
  <w:style w:type="character" w:customStyle="1" w:styleId="Char2">
    <w:name w:val="正文文本 Char"/>
    <w:basedOn w:val="a0"/>
    <w:link w:val="a6"/>
    <w:uiPriority w:val="99"/>
    <w:rsid w:val="006B626E"/>
    <w:rPr>
      <w:rFonts w:ascii="Times New Roman" w:eastAsia="宋体" w:hAnsi="Times New Roman" w:cs="Times New Roman"/>
      <w:sz w:val="30"/>
    </w:rPr>
  </w:style>
  <w:style w:type="paragraph" w:styleId="a7">
    <w:name w:val="Balloon Text"/>
    <w:basedOn w:val="a"/>
    <w:link w:val="Char3"/>
    <w:uiPriority w:val="99"/>
    <w:semiHidden/>
    <w:unhideWhenUsed/>
    <w:rsid w:val="006B626E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6B626E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64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李玲</cp:lastModifiedBy>
  <cp:revision>15</cp:revision>
  <dcterms:created xsi:type="dcterms:W3CDTF">2017-03-31T05:37:00Z</dcterms:created>
  <dcterms:modified xsi:type="dcterms:W3CDTF">2017-10-07T07:20:00Z</dcterms:modified>
</cp:coreProperties>
</file>